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7CA" w:rsidRPr="001C32ED" w:rsidRDefault="00466C92">
      <w:pPr>
        <w:rPr>
          <w:sz w:val="20"/>
          <w:szCs w:val="20"/>
        </w:rPr>
      </w:pPr>
      <w:r>
        <w:rPr>
          <w:sz w:val="20"/>
          <w:szCs w:val="20"/>
        </w:rPr>
        <w:t xml:space="preserve">Title of the Practice: </w:t>
      </w:r>
      <w:r w:rsidR="00E1554C">
        <w:rPr>
          <w:sz w:val="20"/>
          <w:szCs w:val="20"/>
        </w:rPr>
        <w:t>Nutrient Management</w:t>
      </w:r>
      <w:r w:rsidR="005D3D47" w:rsidRPr="001C32ED">
        <w:rPr>
          <w:sz w:val="20"/>
          <w:szCs w:val="20"/>
        </w:rPr>
        <w:t xml:space="preserve"> (</w:t>
      </w:r>
      <w:r w:rsidR="00557D21" w:rsidRPr="001C32ED">
        <w:rPr>
          <w:sz w:val="20"/>
          <w:szCs w:val="20"/>
        </w:rPr>
        <w:t xml:space="preserve">NRCS </w:t>
      </w:r>
      <w:r w:rsidR="005D3D47" w:rsidRPr="001C32ED">
        <w:rPr>
          <w:sz w:val="20"/>
          <w:szCs w:val="20"/>
        </w:rPr>
        <w:t xml:space="preserve">Conservation Practice </w:t>
      </w:r>
      <w:r w:rsidR="00E1554C">
        <w:rPr>
          <w:sz w:val="20"/>
          <w:szCs w:val="20"/>
        </w:rPr>
        <w:t>590</w:t>
      </w:r>
      <w:r w:rsidR="005D3D47" w:rsidRPr="001C32ED">
        <w:rPr>
          <w:sz w:val="20"/>
          <w:szCs w:val="20"/>
        </w:rPr>
        <w:t>)</w:t>
      </w:r>
    </w:p>
    <w:p w:rsidR="005D3D47" w:rsidRPr="001C32ED" w:rsidRDefault="005D3D47">
      <w:pPr>
        <w:rPr>
          <w:sz w:val="20"/>
          <w:szCs w:val="20"/>
        </w:rPr>
      </w:pPr>
      <w:r w:rsidRPr="001C32ED">
        <w:rPr>
          <w:sz w:val="20"/>
          <w:szCs w:val="20"/>
        </w:rPr>
        <w:t>Definition</w:t>
      </w:r>
      <w:r w:rsidR="00911254" w:rsidRPr="001C32ED">
        <w:rPr>
          <w:sz w:val="20"/>
          <w:szCs w:val="20"/>
        </w:rPr>
        <w:t>:</w:t>
      </w:r>
      <w:r w:rsidRPr="001C32ED">
        <w:rPr>
          <w:sz w:val="20"/>
          <w:szCs w:val="20"/>
        </w:rPr>
        <w:t xml:space="preserve"> </w:t>
      </w:r>
      <w:r w:rsidR="00E1554C">
        <w:rPr>
          <w:sz w:val="20"/>
          <w:szCs w:val="20"/>
        </w:rPr>
        <w:t>managing the amount, source, placement, form and timing of the application of plant nutrients and soil amendments.</w:t>
      </w:r>
    </w:p>
    <w:p w:rsidR="003467CA" w:rsidRPr="001C32ED" w:rsidRDefault="003467CA">
      <w:pPr>
        <w:rPr>
          <w:sz w:val="20"/>
          <w:szCs w:val="20"/>
        </w:rPr>
      </w:pPr>
      <w:r w:rsidRPr="001C32ED">
        <w:rPr>
          <w:sz w:val="20"/>
          <w:szCs w:val="20"/>
        </w:rPr>
        <w:t>Purpose</w:t>
      </w:r>
      <w:r w:rsidR="00911254" w:rsidRPr="001C32ED">
        <w:rPr>
          <w:sz w:val="20"/>
          <w:szCs w:val="20"/>
        </w:rPr>
        <w:t xml:space="preserve">s: </w:t>
      </w:r>
      <w:r w:rsidR="00E1554C">
        <w:rPr>
          <w:sz w:val="20"/>
          <w:szCs w:val="20"/>
        </w:rPr>
        <w:t xml:space="preserve">The purposes of this practice are to budget and supply nutrients for plant production, properly utilize manure or organic by-products </w:t>
      </w:r>
      <w:r w:rsidR="00B62CB5">
        <w:rPr>
          <w:sz w:val="20"/>
          <w:szCs w:val="20"/>
        </w:rPr>
        <w:t xml:space="preserve">(biosolids are not permitted) </w:t>
      </w:r>
      <w:r w:rsidR="00E1554C">
        <w:rPr>
          <w:sz w:val="20"/>
          <w:szCs w:val="20"/>
        </w:rPr>
        <w:t xml:space="preserve">as plant nutrients, minimize agricultural nonpoint source pollution of surface and ground water resources, protect air quality </w:t>
      </w:r>
      <w:r w:rsidR="005F0A45">
        <w:rPr>
          <w:sz w:val="20"/>
          <w:szCs w:val="20"/>
        </w:rPr>
        <w:t>(</w:t>
      </w:r>
      <w:r w:rsidR="00E1554C">
        <w:rPr>
          <w:sz w:val="20"/>
          <w:szCs w:val="20"/>
        </w:rPr>
        <w:t xml:space="preserve">by reducing nitrogen (N) emissions and </w:t>
      </w:r>
      <w:r w:rsidR="005F0A45">
        <w:rPr>
          <w:sz w:val="20"/>
          <w:szCs w:val="20"/>
        </w:rPr>
        <w:t xml:space="preserve">the </w:t>
      </w:r>
      <w:r w:rsidR="00E1554C">
        <w:rPr>
          <w:sz w:val="20"/>
          <w:szCs w:val="20"/>
        </w:rPr>
        <w:t>formation of atmospheric particulates</w:t>
      </w:r>
      <w:r w:rsidR="005F0A45">
        <w:rPr>
          <w:sz w:val="20"/>
          <w:szCs w:val="20"/>
        </w:rPr>
        <w:t>)</w:t>
      </w:r>
      <w:r w:rsidR="00E1554C">
        <w:rPr>
          <w:sz w:val="20"/>
          <w:szCs w:val="20"/>
        </w:rPr>
        <w:t xml:space="preserve"> and maintain or improve soil quality.</w:t>
      </w:r>
    </w:p>
    <w:p w:rsidR="00031D63" w:rsidRDefault="00982C17" w:rsidP="00086C0B">
      <w:pPr>
        <w:tabs>
          <w:tab w:val="left" w:pos="7485"/>
        </w:tabs>
        <w:rPr>
          <w:sz w:val="20"/>
          <w:szCs w:val="20"/>
        </w:rPr>
      </w:pPr>
      <w:r w:rsidRPr="001C32ED">
        <w:rPr>
          <w:sz w:val="20"/>
          <w:szCs w:val="20"/>
        </w:rPr>
        <w:t xml:space="preserve">General Expectations: </w:t>
      </w:r>
      <w:r w:rsidR="003467CA" w:rsidRPr="001C32ED">
        <w:rPr>
          <w:sz w:val="20"/>
          <w:szCs w:val="20"/>
        </w:rPr>
        <w:t xml:space="preserve"> </w:t>
      </w:r>
      <w:r w:rsidR="00E1554C">
        <w:rPr>
          <w:sz w:val="20"/>
          <w:szCs w:val="20"/>
        </w:rPr>
        <w:t>A nutrient budget for N, phosphorus (P) and potassium (K) shall be developed tha</w:t>
      </w:r>
      <w:r w:rsidR="000A3403">
        <w:rPr>
          <w:sz w:val="20"/>
          <w:szCs w:val="20"/>
        </w:rPr>
        <w:t>t</w:t>
      </w:r>
      <w:r w:rsidR="00E1554C">
        <w:rPr>
          <w:sz w:val="20"/>
          <w:szCs w:val="20"/>
        </w:rPr>
        <w:t xml:space="preserve"> considers all potential sources of nutrients including animal manure and organic by-products, waste water, commercial fertilizer, crop residues, legume credits and irrigation water. Nutrient recommendations are based on realistic yield estimates (RYE), in the absence of which a</w:t>
      </w:r>
      <w:r w:rsidR="00D57302">
        <w:rPr>
          <w:sz w:val="20"/>
          <w:szCs w:val="20"/>
        </w:rPr>
        <w:t>n</w:t>
      </w:r>
      <w:r w:rsidR="00E1554C">
        <w:rPr>
          <w:sz w:val="20"/>
          <w:szCs w:val="20"/>
        </w:rPr>
        <w:t xml:space="preserve"> N fertilization rate will be based on recommendations of nutrient management specialists at Clemson or N.C. State</w:t>
      </w:r>
      <w:r w:rsidR="000A3403">
        <w:rPr>
          <w:sz w:val="20"/>
          <w:szCs w:val="20"/>
        </w:rPr>
        <w:t xml:space="preserve"> (NCSU)</w:t>
      </w:r>
      <w:r w:rsidR="00E1554C">
        <w:rPr>
          <w:sz w:val="20"/>
          <w:szCs w:val="20"/>
        </w:rPr>
        <w:t>. Plans shall specify source, amount, timing and method of application of nutrients on each field to meet RYE.</w:t>
      </w:r>
      <w:r w:rsidR="00FF75D9">
        <w:rPr>
          <w:sz w:val="20"/>
          <w:szCs w:val="20"/>
        </w:rPr>
        <w:t xml:space="preserve"> </w:t>
      </w:r>
    </w:p>
    <w:p w:rsidR="00D57302" w:rsidRDefault="00FF75D9" w:rsidP="00086C0B">
      <w:pPr>
        <w:tabs>
          <w:tab w:val="left" w:pos="7485"/>
        </w:tabs>
        <w:rPr>
          <w:sz w:val="20"/>
          <w:szCs w:val="20"/>
        </w:rPr>
      </w:pPr>
      <w:r>
        <w:rPr>
          <w:sz w:val="20"/>
          <w:szCs w:val="20"/>
        </w:rPr>
        <w:t xml:space="preserve">In addition, nutrient application rates, including lime, will be based on </w:t>
      </w:r>
      <w:r w:rsidRPr="00F46DF4">
        <w:rPr>
          <w:b/>
          <w:sz w:val="20"/>
          <w:szCs w:val="20"/>
        </w:rPr>
        <w:t>current</w:t>
      </w:r>
      <w:r>
        <w:rPr>
          <w:sz w:val="20"/>
          <w:szCs w:val="20"/>
        </w:rPr>
        <w:t xml:space="preserve"> soil test results. Application rates of N, P, K and other nutrients shall match </w:t>
      </w:r>
      <w:r w:rsidR="005F0A45">
        <w:rPr>
          <w:sz w:val="20"/>
          <w:szCs w:val="20"/>
        </w:rPr>
        <w:t xml:space="preserve">(not to exceed) </w:t>
      </w:r>
      <w:r>
        <w:rPr>
          <w:sz w:val="20"/>
          <w:szCs w:val="20"/>
        </w:rPr>
        <w:t xml:space="preserve">recommended rates as closely as possible, except when </w:t>
      </w:r>
      <w:r w:rsidR="000A3403">
        <w:rPr>
          <w:sz w:val="20"/>
          <w:szCs w:val="20"/>
        </w:rPr>
        <w:t xml:space="preserve">manure or organic by-products are a source of nutrients (for N and P). </w:t>
      </w:r>
    </w:p>
    <w:p w:rsidR="00E32263" w:rsidRDefault="000A3403" w:rsidP="00086C0B">
      <w:pPr>
        <w:tabs>
          <w:tab w:val="left" w:pos="7485"/>
        </w:tabs>
        <w:rPr>
          <w:sz w:val="20"/>
          <w:szCs w:val="20"/>
        </w:rPr>
      </w:pPr>
      <w:r>
        <w:rPr>
          <w:sz w:val="20"/>
          <w:szCs w:val="20"/>
        </w:rPr>
        <w:t>Recent NCSU research indicates tha</w:t>
      </w:r>
      <w:r w:rsidR="00031D63">
        <w:rPr>
          <w:sz w:val="20"/>
          <w:szCs w:val="20"/>
        </w:rPr>
        <w:t>t</w:t>
      </w:r>
      <w:r>
        <w:rPr>
          <w:sz w:val="20"/>
          <w:szCs w:val="20"/>
        </w:rPr>
        <w:t xml:space="preserve"> N-ba</w:t>
      </w:r>
      <w:r w:rsidR="00031D63">
        <w:rPr>
          <w:sz w:val="20"/>
          <w:szCs w:val="20"/>
        </w:rPr>
        <w:t>sed starter fertilizers give an</w:t>
      </w:r>
      <w:r>
        <w:rPr>
          <w:sz w:val="20"/>
          <w:szCs w:val="20"/>
        </w:rPr>
        <w:t xml:space="preserve"> equal crop response to starter fertilizers containing both N and P on soils with “very high” </w:t>
      </w:r>
      <w:r w:rsidR="005F0A45">
        <w:rPr>
          <w:sz w:val="20"/>
          <w:szCs w:val="20"/>
        </w:rPr>
        <w:t>or “excessive”</w:t>
      </w:r>
      <w:r>
        <w:rPr>
          <w:sz w:val="20"/>
          <w:szCs w:val="20"/>
        </w:rPr>
        <w:t xml:space="preserve"> soil test P-I. No starter P shall be applied to said soils or sites.</w:t>
      </w:r>
      <w:r w:rsidR="00031D63">
        <w:rPr>
          <w:sz w:val="20"/>
          <w:szCs w:val="20"/>
        </w:rPr>
        <w:t xml:space="preserve"> N, P and K applications may exceed recommended rates only when custom blended fertilizers are not available (</w:t>
      </w:r>
      <w:r w:rsidR="005F0A45">
        <w:rPr>
          <w:sz w:val="20"/>
          <w:szCs w:val="20"/>
        </w:rPr>
        <w:t xml:space="preserve">on a </w:t>
      </w:r>
      <w:r w:rsidR="00031D63">
        <w:rPr>
          <w:sz w:val="20"/>
          <w:szCs w:val="20"/>
        </w:rPr>
        <w:t>short term basis only).</w:t>
      </w:r>
    </w:p>
    <w:p w:rsidR="00031D63" w:rsidRDefault="00031D63" w:rsidP="00086C0B">
      <w:pPr>
        <w:tabs>
          <w:tab w:val="left" w:pos="7485"/>
        </w:tabs>
        <w:rPr>
          <w:sz w:val="20"/>
          <w:szCs w:val="20"/>
        </w:rPr>
      </w:pPr>
      <w:r>
        <w:rPr>
          <w:sz w:val="20"/>
          <w:szCs w:val="20"/>
        </w:rPr>
        <w:t>Timing of application shall correspond as closely as possible with plant nutrient uptake (given weather, climate accessibility and other</w:t>
      </w:r>
      <w:r w:rsidR="00454D28">
        <w:rPr>
          <w:sz w:val="20"/>
          <w:szCs w:val="20"/>
        </w:rPr>
        <w:t xml:space="preserve"> </w:t>
      </w:r>
      <w:r>
        <w:rPr>
          <w:sz w:val="20"/>
          <w:szCs w:val="20"/>
        </w:rPr>
        <w:t>limiting factors) and never when fields are frozen, snow-</w:t>
      </w:r>
      <w:r w:rsidR="002771DD">
        <w:rPr>
          <w:sz w:val="20"/>
          <w:szCs w:val="20"/>
        </w:rPr>
        <w:t>covered</w:t>
      </w:r>
      <w:r>
        <w:rPr>
          <w:sz w:val="20"/>
          <w:szCs w:val="20"/>
        </w:rPr>
        <w:t xml:space="preserve"> or flooded.</w:t>
      </w:r>
    </w:p>
    <w:p w:rsidR="00ED248A" w:rsidRDefault="004444F6" w:rsidP="00086C0B">
      <w:pPr>
        <w:tabs>
          <w:tab w:val="left" w:pos="7485"/>
        </w:tabs>
        <w:rPr>
          <w:sz w:val="20"/>
          <w:szCs w:val="20"/>
        </w:rPr>
      </w:pPr>
      <w:r w:rsidRPr="001C32ED">
        <w:rPr>
          <w:sz w:val="20"/>
          <w:szCs w:val="20"/>
        </w:rPr>
        <w:t xml:space="preserve">Additional management expectations </w:t>
      </w:r>
      <w:r w:rsidR="00B62CB5">
        <w:rPr>
          <w:sz w:val="20"/>
          <w:szCs w:val="20"/>
        </w:rPr>
        <w:t>with respect to manure or organic by-products applied as plant nutrient sources</w:t>
      </w:r>
      <w:r w:rsidR="00EB5F1E">
        <w:rPr>
          <w:sz w:val="20"/>
          <w:szCs w:val="20"/>
        </w:rPr>
        <w:t>:</w:t>
      </w:r>
    </w:p>
    <w:p w:rsidR="00994E43" w:rsidRDefault="00B62CB5" w:rsidP="006E13D6">
      <w:pPr>
        <w:pStyle w:val="ListParagraph"/>
        <w:numPr>
          <w:ilvl w:val="0"/>
          <w:numId w:val="2"/>
        </w:numPr>
        <w:tabs>
          <w:tab w:val="left" w:pos="7485"/>
        </w:tabs>
        <w:rPr>
          <w:sz w:val="20"/>
          <w:szCs w:val="20"/>
        </w:rPr>
      </w:pPr>
      <w:r>
        <w:rPr>
          <w:sz w:val="20"/>
          <w:szCs w:val="20"/>
        </w:rPr>
        <w:t xml:space="preserve">Nutrient management plans will be based on nutrient values </w:t>
      </w:r>
      <w:r w:rsidR="0044443F">
        <w:rPr>
          <w:sz w:val="20"/>
          <w:szCs w:val="20"/>
        </w:rPr>
        <w:t xml:space="preserve">of applicable organic materials </w:t>
      </w:r>
      <w:r>
        <w:rPr>
          <w:sz w:val="20"/>
          <w:szCs w:val="20"/>
        </w:rPr>
        <w:t>based on laboratory analysis (preferred), acceptable default values or historical records.</w:t>
      </w:r>
    </w:p>
    <w:p w:rsidR="006E13D6" w:rsidRPr="006E13D6" w:rsidRDefault="00B62CB5" w:rsidP="007D44FD">
      <w:pPr>
        <w:pStyle w:val="ListParagraph"/>
        <w:numPr>
          <w:ilvl w:val="0"/>
          <w:numId w:val="2"/>
        </w:numPr>
        <w:tabs>
          <w:tab w:val="left" w:pos="7485"/>
        </w:tabs>
        <w:rPr>
          <w:sz w:val="20"/>
          <w:szCs w:val="20"/>
        </w:rPr>
      </w:pPr>
      <w:r>
        <w:rPr>
          <w:sz w:val="20"/>
          <w:szCs w:val="20"/>
        </w:rPr>
        <w:t>When animal manures are applie</w:t>
      </w:r>
      <w:r w:rsidR="00D57302">
        <w:rPr>
          <w:sz w:val="20"/>
          <w:szCs w:val="20"/>
        </w:rPr>
        <w:t xml:space="preserve">d, a field-specific evaluation </w:t>
      </w:r>
      <w:r>
        <w:rPr>
          <w:sz w:val="20"/>
          <w:szCs w:val="20"/>
        </w:rPr>
        <w:t>of the potential for transport from the field, Phosphorus Loss Assessment (PLAT)</w:t>
      </w:r>
      <w:r w:rsidR="005F0A45">
        <w:rPr>
          <w:sz w:val="20"/>
          <w:szCs w:val="20"/>
        </w:rPr>
        <w:t xml:space="preserve"> or Phosphorus Index</w:t>
      </w:r>
      <w:r w:rsidR="005F0A45" w:rsidRPr="005F0A45">
        <w:rPr>
          <w:sz w:val="20"/>
          <w:szCs w:val="20"/>
        </w:rPr>
        <w:t xml:space="preserve"> </w:t>
      </w:r>
      <w:r w:rsidR="005F0A45">
        <w:rPr>
          <w:sz w:val="20"/>
          <w:szCs w:val="20"/>
        </w:rPr>
        <w:t>Tools</w:t>
      </w:r>
      <w:r>
        <w:rPr>
          <w:sz w:val="20"/>
          <w:szCs w:val="20"/>
        </w:rPr>
        <w:t>, shall be conducted</w:t>
      </w:r>
      <w:r w:rsidR="005F0A45">
        <w:rPr>
          <w:sz w:val="20"/>
          <w:szCs w:val="20"/>
        </w:rPr>
        <w:t xml:space="preserve">. </w:t>
      </w:r>
      <w:r w:rsidR="007D44FD">
        <w:rPr>
          <w:sz w:val="20"/>
          <w:szCs w:val="20"/>
        </w:rPr>
        <w:t xml:space="preserve">Using PLAT </w:t>
      </w:r>
      <w:r w:rsidR="005F0A45">
        <w:rPr>
          <w:sz w:val="20"/>
          <w:szCs w:val="20"/>
        </w:rPr>
        <w:t xml:space="preserve">or PI </w:t>
      </w:r>
      <w:r w:rsidR="007D44FD">
        <w:rPr>
          <w:sz w:val="20"/>
          <w:szCs w:val="20"/>
        </w:rPr>
        <w:t xml:space="preserve">as a guide, management strategies and supporting conservation practices </w:t>
      </w:r>
      <w:r w:rsidR="00D57302">
        <w:rPr>
          <w:sz w:val="20"/>
          <w:szCs w:val="20"/>
        </w:rPr>
        <w:t xml:space="preserve">should be planned and applied to </w:t>
      </w:r>
      <w:r w:rsidR="007D44FD">
        <w:rPr>
          <w:sz w:val="20"/>
          <w:szCs w:val="20"/>
        </w:rPr>
        <w:t>reduce the potential for excessive P loss to surface water.</w:t>
      </w:r>
    </w:p>
    <w:p w:rsidR="007D44FD" w:rsidRDefault="007D44FD" w:rsidP="00EB5F1E">
      <w:pPr>
        <w:pStyle w:val="ListParagraph"/>
        <w:numPr>
          <w:ilvl w:val="0"/>
          <w:numId w:val="2"/>
        </w:numPr>
        <w:tabs>
          <w:tab w:val="left" w:pos="7485"/>
        </w:tabs>
        <w:rPr>
          <w:sz w:val="20"/>
          <w:szCs w:val="20"/>
        </w:rPr>
      </w:pPr>
      <w:r>
        <w:rPr>
          <w:sz w:val="20"/>
          <w:szCs w:val="20"/>
        </w:rPr>
        <w:t xml:space="preserve">Practices that reduce potential P loss include buffers and/or filter strips to reduce sediment-bound P delivery, managing </w:t>
      </w:r>
      <w:r w:rsidR="00D57302">
        <w:rPr>
          <w:sz w:val="20"/>
          <w:szCs w:val="20"/>
        </w:rPr>
        <w:t xml:space="preserve">crop </w:t>
      </w:r>
      <w:r>
        <w:rPr>
          <w:sz w:val="20"/>
          <w:szCs w:val="20"/>
        </w:rPr>
        <w:t>residues, applying erosion control practices, limiting manure application to selected portions of fields that are flatter, less erosive or further from surface water</w:t>
      </w:r>
      <w:r w:rsidR="00D57302">
        <w:rPr>
          <w:sz w:val="20"/>
          <w:szCs w:val="20"/>
        </w:rPr>
        <w:t>,</w:t>
      </w:r>
      <w:r>
        <w:rPr>
          <w:sz w:val="20"/>
          <w:szCs w:val="20"/>
        </w:rPr>
        <w:t xml:space="preserve"> reducing application rates </w:t>
      </w:r>
      <w:r w:rsidR="00D57302">
        <w:rPr>
          <w:sz w:val="20"/>
          <w:szCs w:val="20"/>
        </w:rPr>
        <w:t xml:space="preserve">and/or </w:t>
      </w:r>
      <w:r>
        <w:rPr>
          <w:sz w:val="20"/>
          <w:szCs w:val="20"/>
        </w:rPr>
        <w:t>and improving pasture stands.</w:t>
      </w:r>
    </w:p>
    <w:p w:rsidR="00994E43" w:rsidRDefault="007D44FD" w:rsidP="00EB5F1E">
      <w:pPr>
        <w:pStyle w:val="ListParagraph"/>
        <w:numPr>
          <w:ilvl w:val="0"/>
          <w:numId w:val="2"/>
        </w:numPr>
        <w:tabs>
          <w:tab w:val="left" w:pos="7485"/>
        </w:tabs>
        <w:rPr>
          <w:sz w:val="20"/>
          <w:szCs w:val="20"/>
        </w:rPr>
      </w:pPr>
      <w:r>
        <w:rPr>
          <w:sz w:val="20"/>
          <w:szCs w:val="20"/>
        </w:rPr>
        <w:t>Manure or organic by-products shall not be applied more than 30 days prior to planting the crop or forages breaking dormancy</w:t>
      </w:r>
      <w:r w:rsidR="00345F65">
        <w:rPr>
          <w:sz w:val="20"/>
          <w:szCs w:val="20"/>
        </w:rPr>
        <w:t xml:space="preserve">, nor within </w:t>
      </w:r>
      <w:r w:rsidR="005F0A45">
        <w:rPr>
          <w:sz w:val="20"/>
          <w:szCs w:val="20"/>
        </w:rPr>
        <w:t xml:space="preserve">90 (vegetable in contact with soil) </w:t>
      </w:r>
      <w:r w:rsidR="00345F65">
        <w:rPr>
          <w:sz w:val="20"/>
          <w:szCs w:val="20"/>
        </w:rPr>
        <w:t xml:space="preserve">120 days </w:t>
      </w:r>
      <w:r w:rsidR="005F0A45">
        <w:rPr>
          <w:sz w:val="20"/>
          <w:szCs w:val="20"/>
        </w:rPr>
        <w:t xml:space="preserve">(no contact with soil) </w:t>
      </w:r>
      <w:r w:rsidR="00345F65">
        <w:rPr>
          <w:sz w:val="20"/>
          <w:szCs w:val="20"/>
        </w:rPr>
        <w:t>of harvest of crops for human consumption.</w:t>
      </w:r>
    </w:p>
    <w:p w:rsidR="00EB5F1E" w:rsidRPr="006E13D6" w:rsidRDefault="00345F65" w:rsidP="00EB5F1E">
      <w:pPr>
        <w:pStyle w:val="ListParagraph"/>
        <w:numPr>
          <w:ilvl w:val="0"/>
          <w:numId w:val="2"/>
        </w:numPr>
        <w:tabs>
          <w:tab w:val="left" w:pos="7485"/>
        </w:tabs>
        <w:rPr>
          <w:sz w:val="20"/>
          <w:szCs w:val="20"/>
        </w:rPr>
      </w:pPr>
      <w:r>
        <w:rPr>
          <w:sz w:val="20"/>
          <w:szCs w:val="20"/>
        </w:rPr>
        <w:t>For animal manure applications, soil zinc (Zn) and copper (Cu) content shall be monitored. When concentrations of these m</w:t>
      </w:r>
      <w:r w:rsidR="005F0A45">
        <w:rPr>
          <w:sz w:val="20"/>
          <w:szCs w:val="20"/>
        </w:rPr>
        <w:t>etals approach excessive levels,</w:t>
      </w:r>
      <w:r>
        <w:rPr>
          <w:sz w:val="20"/>
          <w:szCs w:val="20"/>
        </w:rPr>
        <w:t xml:space="preserve"> </w:t>
      </w:r>
      <w:r w:rsidR="00C91778">
        <w:rPr>
          <w:sz w:val="20"/>
          <w:szCs w:val="20"/>
        </w:rPr>
        <w:t>alternative crop sites for application of manure are</w:t>
      </w:r>
      <w:r>
        <w:rPr>
          <w:sz w:val="20"/>
          <w:szCs w:val="20"/>
        </w:rPr>
        <w:t xml:space="preserve"> advised. Soil pH should be maintained at 6.0 (or higher) to limit Zn or Cu availability.</w:t>
      </w:r>
    </w:p>
    <w:p w:rsidR="00044DF3" w:rsidRPr="00044DF3" w:rsidRDefault="00345F65" w:rsidP="00044DF3">
      <w:pPr>
        <w:pStyle w:val="ListParagraph"/>
        <w:numPr>
          <w:ilvl w:val="0"/>
          <w:numId w:val="2"/>
        </w:numPr>
        <w:tabs>
          <w:tab w:val="left" w:pos="7485"/>
        </w:tabs>
        <w:rPr>
          <w:sz w:val="20"/>
          <w:szCs w:val="20"/>
        </w:rPr>
      </w:pPr>
      <w:r>
        <w:rPr>
          <w:sz w:val="20"/>
          <w:szCs w:val="20"/>
        </w:rPr>
        <w:lastRenderedPageBreak/>
        <w:t>Importantly, recent NCSU research indicates that acutely acidic soil conditions contribute to high levels of water solubility of soil P reactive products when organic waste P is applied. Thus, when soil tests show that pH is below soil target pH and lime is recommended, soils should be limed to increase soil pH to soil target levels</w:t>
      </w:r>
      <w:r w:rsidR="00826715">
        <w:rPr>
          <w:sz w:val="20"/>
          <w:szCs w:val="20"/>
        </w:rPr>
        <w:t xml:space="preserve"> (as per soil test report) </w:t>
      </w:r>
      <w:r>
        <w:rPr>
          <w:sz w:val="20"/>
          <w:szCs w:val="20"/>
        </w:rPr>
        <w:t>prior to application of organic waste materials</w:t>
      </w:r>
      <w:r w:rsidR="00044DF3">
        <w:rPr>
          <w:sz w:val="20"/>
          <w:szCs w:val="20"/>
        </w:rPr>
        <w:t>.</w:t>
      </w:r>
    </w:p>
    <w:p w:rsidR="005336AD" w:rsidRPr="001C32ED" w:rsidRDefault="00E32263">
      <w:pPr>
        <w:rPr>
          <w:sz w:val="20"/>
          <w:szCs w:val="20"/>
        </w:rPr>
      </w:pPr>
      <w:r w:rsidRPr="001C32ED">
        <w:rPr>
          <w:sz w:val="20"/>
          <w:szCs w:val="20"/>
        </w:rPr>
        <w:t>A</w:t>
      </w:r>
      <w:r w:rsidR="003467CA" w:rsidRPr="001C32ED">
        <w:rPr>
          <w:sz w:val="20"/>
          <w:szCs w:val="20"/>
        </w:rPr>
        <w:t xml:space="preserve">dditional </w:t>
      </w:r>
      <w:r w:rsidRPr="001C32ED">
        <w:rPr>
          <w:sz w:val="20"/>
          <w:szCs w:val="20"/>
        </w:rPr>
        <w:t xml:space="preserve">management </w:t>
      </w:r>
      <w:r w:rsidR="004079BF">
        <w:rPr>
          <w:sz w:val="20"/>
          <w:szCs w:val="20"/>
        </w:rPr>
        <w:t>considerations</w:t>
      </w:r>
      <w:r w:rsidRPr="001C32ED">
        <w:rPr>
          <w:sz w:val="20"/>
          <w:szCs w:val="20"/>
        </w:rPr>
        <w:t xml:space="preserve"> for specific resource concerns</w:t>
      </w:r>
      <w:r w:rsidR="00A0258C" w:rsidRPr="001C32ED">
        <w:rPr>
          <w:sz w:val="20"/>
          <w:szCs w:val="20"/>
        </w:rPr>
        <w:t>:</w:t>
      </w:r>
    </w:p>
    <w:p w:rsidR="00A0258C" w:rsidRPr="001C32ED" w:rsidRDefault="00D57302" w:rsidP="00533943">
      <w:pPr>
        <w:pStyle w:val="ListParagraph"/>
        <w:numPr>
          <w:ilvl w:val="0"/>
          <w:numId w:val="1"/>
        </w:numPr>
        <w:rPr>
          <w:sz w:val="20"/>
          <w:szCs w:val="20"/>
        </w:rPr>
      </w:pPr>
      <w:r>
        <w:rPr>
          <w:sz w:val="20"/>
          <w:szCs w:val="20"/>
        </w:rPr>
        <w:t xml:space="preserve">Where air quality is a concern, any component(s) of nutrient management identified by risk assessment fools as a potential source of atmospheric pollutants shall be adjusted, as necessary </w:t>
      </w:r>
      <w:r w:rsidR="00472F36">
        <w:rPr>
          <w:sz w:val="20"/>
          <w:szCs w:val="20"/>
        </w:rPr>
        <w:t xml:space="preserve">to </w:t>
      </w:r>
      <w:r w:rsidR="002771DD">
        <w:rPr>
          <w:sz w:val="20"/>
          <w:szCs w:val="20"/>
        </w:rPr>
        <w:t>minimize</w:t>
      </w:r>
      <w:r w:rsidR="00472F36">
        <w:rPr>
          <w:sz w:val="20"/>
          <w:szCs w:val="20"/>
        </w:rPr>
        <w:t xml:space="preserve"> the loss</w:t>
      </w:r>
      <w:r>
        <w:rPr>
          <w:sz w:val="20"/>
          <w:szCs w:val="20"/>
        </w:rPr>
        <w:t>(es)</w:t>
      </w:r>
      <w:r w:rsidR="00044DF3">
        <w:rPr>
          <w:sz w:val="20"/>
          <w:szCs w:val="20"/>
        </w:rPr>
        <w:t>.</w:t>
      </w:r>
    </w:p>
    <w:p w:rsidR="00D57302" w:rsidRDefault="00D57302" w:rsidP="00533943">
      <w:pPr>
        <w:pStyle w:val="ListParagraph"/>
        <w:numPr>
          <w:ilvl w:val="0"/>
          <w:numId w:val="1"/>
        </w:numPr>
        <w:rPr>
          <w:sz w:val="20"/>
          <w:szCs w:val="20"/>
        </w:rPr>
      </w:pPr>
      <w:r>
        <w:rPr>
          <w:sz w:val="20"/>
          <w:szCs w:val="20"/>
        </w:rPr>
        <w:t>When tillage can be performed, incorporate manure within 24 hours of application</w:t>
      </w:r>
    </w:p>
    <w:p w:rsidR="009A0DE5" w:rsidRDefault="00472F36" w:rsidP="00533943">
      <w:pPr>
        <w:pStyle w:val="ListParagraph"/>
        <w:numPr>
          <w:ilvl w:val="0"/>
          <w:numId w:val="1"/>
        </w:numPr>
        <w:rPr>
          <w:sz w:val="20"/>
          <w:szCs w:val="20"/>
        </w:rPr>
      </w:pPr>
      <w:r>
        <w:rPr>
          <w:sz w:val="20"/>
          <w:szCs w:val="20"/>
        </w:rPr>
        <w:t>Apply poultry litter or other dry types of animal manures when potential for wind-driven loss is low.</w:t>
      </w:r>
    </w:p>
    <w:p w:rsidR="0061430D" w:rsidRDefault="0061430D" w:rsidP="00533943">
      <w:pPr>
        <w:pStyle w:val="ListParagraph"/>
        <w:numPr>
          <w:ilvl w:val="0"/>
          <w:numId w:val="1"/>
        </w:numPr>
        <w:rPr>
          <w:sz w:val="20"/>
          <w:szCs w:val="20"/>
        </w:rPr>
      </w:pPr>
      <w:r>
        <w:rPr>
          <w:sz w:val="20"/>
          <w:szCs w:val="20"/>
        </w:rPr>
        <w:t>Consider induced nutrient imbalances due to excessive levels of fertilizer application.</w:t>
      </w:r>
    </w:p>
    <w:p w:rsidR="0061430D" w:rsidRDefault="0061430D" w:rsidP="00533943">
      <w:pPr>
        <w:pStyle w:val="ListParagraph"/>
        <w:numPr>
          <w:ilvl w:val="0"/>
          <w:numId w:val="1"/>
        </w:numPr>
        <w:rPr>
          <w:sz w:val="20"/>
          <w:szCs w:val="20"/>
        </w:rPr>
      </w:pPr>
      <w:r>
        <w:rPr>
          <w:sz w:val="20"/>
          <w:szCs w:val="20"/>
        </w:rPr>
        <w:t>Consider complementing or enhancing nutrient management by relieving moisture stress in crops through irrigation, promoting infiltration</w:t>
      </w:r>
      <w:r w:rsidR="005F0A45">
        <w:rPr>
          <w:sz w:val="20"/>
          <w:szCs w:val="20"/>
        </w:rPr>
        <w:t>,</w:t>
      </w:r>
      <w:r>
        <w:rPr>
          <w:sz w:val="20"/>
          <w:szCs w:val="20"/>
        </w:rPr>
        <w:t xml:space="preserve"> reducing surface runoff</w:t>
      </w:r>
      <w:r w:rsidR="00B431D3" w:rsidRPr="00B431D3">
        <w:rPr>
          <w:sz w:val="20"/>
          <w:szCs w:val="20"/>
        </w:rPr>
        <w:t xml:space="preserve"> </w:t>
      </w:r>
      <w:r w:rsidR="00B431D3">
        <w:rPr>
          <w:sz w:val="20"/>
          <w:szCs w:val="20"/>
        </w:rPr>
        <w:t>and recycling residual N by cover cropping</w:t>
      </w:r>
      <w:r>
        <w:rPr>
          <w:sz w:val="20"/>
          <w:szCs w:val="20"/>
        </w:rPr>
        <w:t>.</w:t>
      </w:r>
    </w:p>
    <w:p w:rsidR="00F46DF4" w:rsidRDefault="00F46DF4" w:rsidP="00533943">
      <w:pPr>
        <w:pStyle w:val="ListParagraph"/>
        <w:numPr>
          <w:ilvl w:val="0"/>
          <w:numId w:val="1"/>
        </w:numPr>
        <w:rPr>
          <w:sz w:val="20"/>
          <w:szCs w:val="20"/>
        </w:rPr>
      </w:pPr>
      <w:r>
        <w:rPr>
          <w:sz w:val="20"/>
          <w:szCs w:val="20"/>
        </w:rPr>
        <w:t>Alternative application methods and timing that reduce risk of nutrient loss to ground and surface water include split N applications, banding P near the seed row, delaying application of nutrients (in any form) if precipitation capable of producing runoff and erosion is forecast within 24 hours of the time of the planned application.</w:t>
      </w:r>
    </w:p>
    <w:p w:rsidR="00F46DF4" w:rsidRDefault="00F46DF4" w:rsidP="00533943">
      <w:pPr>
        <w:pStyle w:val="ListParagraph"/>
        <w:numPr>
          <w:ilvl w:val="0"/>
          <w:numId w:val="1"/>
        </w:numPr>
        <w:rPr>
          <w:sz w:val="20"/>
          <w:szCs w:val="20"/>
        </w:rPr>
      </w:pPr>
      <w:r>
        <w:rPr>
          <w:sz w:val="20"/>
          <w:szCs w:val="20"/>
        </w:rPr>
        <w:t>Observe minimum application setback distances from environmentally sensitive areas such as wells, gullies, ditches, etc.</w:t>
      </w:r>
    </w:p>
    <w:p w:rsidR="00F46DF4" w:rsidRDefault="00F46DF4" w:rsidP="00533943">
      <w:pPr>
        <w:pStyle w:val="ListParagraph"/>
        <w:numPr>
          <w:ilvl w:val="0"/>
          <w:numId w:val="1"/>
        </w:numPr>
        <w:rPr>
          <w:sz w:val="20"/>
          <w:szCs w:val="20"/>
        </w:rPr>
      </w:pPr>
      <w:r>
        <w:rPr>
          <w:sz w:val="20"/>
          <w:szCs w:val="20"/>
        </w:rPr>
        <w:t>Avoid application of manures upwind of occupied structure when residents are likely to be home.</w:t>
      </w:r>
    </w:p>
    <w:p w:rsidR="00E32263" w:rsidRDefault="00E32263">
      <w:pPr>
        <w:rPr>
          <w:sz w:val="20"/>
          <w:szCs w:val="20"/>
        </w:rPr>
      </w:pPr>
      <w:r w:rsidRPr="001C32ED">
        <w:rPr>
          <w:sz w:val="20"/>
          <w:szCs w:val="20"/>
        </w:rPr>
        <w:t>Operation and Maintenance</w:t>
      </w:r>
      <w:r w:rsidR="00965EB5" w:rsidRPr="001C32ED">
        <w:rPr>
          <w:sz w:val="20"/>
          <w:szCs w:val="20"/>
        </w:rPr>
        <w:t xml:space="preserve">: </w:t>
      </w:r>
      <w:r w:rsidR="001D688C">
        <w:rPr>
          <w:sz w:val="20"/>
          <w:szCs w:val="20"/>
        </w:rPr>
        <w:t>The landowner is responsible for the safe operation and maintenance of the practice including all equipment. The producer is encouraged to review the plan annually and make adjustments and modifications as needed</w:t>
      </w:r>
      <w:r w:rsidR="0012743B">
        <w:rPr>
          <w:sz w:val="20"/>
          <w:szCs w:val="20"/>
        </w:rPr>
        <w:t>.</w:t>
      </w:r>
      <w:r w:rsidR="001D688C">
        <w:rPr>
          <w:sz w:val="20"/>
          <w:szCs w:val="20"/>
        </w:rPr>
        <w:t xml:space="preserve"> </w:t>
      </w:r>
      <w:r w:rsidR="002771DD">
        <w:rPr>
          <w:sz w:val="20"/>
          <w:szCs w:val="20"/>
        </w:rPr>
        <w:t>The producer is responsible for protection of fertilizer and organic materials storage facilities, proper calibration of application equipment to ensure uniform distribution material at planned rates, maintain records to document plan implementation for five years (see plans and specs for items), protection of workers from fertilizer materials of any kind, disposal of material generated by the cleaning of nutrient application equipment and disposal or recycling of nutrient containers (according to state or local regulations).</w:t>
      </w:r>
    </w:p>
    <w:p w:rsidR="00147D89" w:rsidRPr="001C32ED" w:rsidRDefault="00147D89">
      <w:pPr>
        <w:rPr>
          <w:sz w:val="20"/>
          <w:szCs w:val="20"/>
        </w:rPr>
      </w:pPr>
      <w:r>
        <w:rPr>
          <w:sz w:val="20"/>
          <w:szCs w:val="20"/>
        </w:rPr>
        <w:t xml:space="preserve">Practice </w:t>
      </w:r>
      <w:r w:rsidR="00E80C0F">
        <w:rPr>
          <w:sz w:val="20"/>
          <w:szCs w:val="20"/>
        </w:rPr>
        <w:t>financing</w:t>
      </w:r>
      <w:r w:rsidR="00E56D63">
        <w:rPr>
          <w:sz w:val="20"/>
          <w:szCs w:val="20"/>
        </w:rPr>
        <w:t xml:space="preserve"> (201</w:t>
      </w:r>
      <w:r w:rsidR="00A3250A">
        <w:rPr>
          <w:sz w:val="20"/>
          <w:szCs w:val="20"/>
        </w:rPr>
        <w:t>4</w:t>
      </w:r>
      <w:r w:rsidR="00E56D63">
        <w:rPr>
          <w:sz w:val="20"/>
          <w:szCs w:val="20"/>
        </w:rPr>
        <w:t>)</w:t>
      </w:r>
      <w:r w:rsidR="00E80C0F">
        <w:rPr>
          <w:sz w:val="20"/>
          <w:szCs w:val="20"/>
        </w:rPr>
        <w:t>:</w:t>
      </w:r>
    </w:p>
    <w:tbl>
      <w:tblPr>
        <w:tblStyle w:val="TableGrid"/>
        <w:tblW w:w="0" w:type="auto"/>
        <w:tblLook w:val="04A0" w:firstRow="1" w:lastRow="0" w:firstColumn="1" w:lastColumn="0" w:noHBand="0" w:noVBand="1"/>
      </w:tblPr>
      <w:tblGrid>
        <w:gridCol w:w="2394"/>
        <w:gridCol w:w="2394"/>
        <w:gridCol w:w="2394"/>
        <w:gridCol w:w="2394"/>
      </w:tblGrid>
      <w:tr w:rsidR="00147D89" w:rsidTr="00147D89">
        <w:tc>
          <w:tcPr>
            <w:tcW w:w="2394" w:type="dxa"/>
          </w:tcPr>
          <w:p w:rsidR="00147D89" w:rsidRDefault="00147D89">
            <w:pPr>
              <w:rPr>
                <w:sz w:val="20"/>
                <w:szCs w:val="20"/>
              </w:rPr>
            </w:pPr>
            <w:r>
              <w:rPr>
                <w:sz w:val="20"/>
                <w:szCs w:val="20"/>
              </w:rPr>
              <w:t>Practice</w:t>
            </w:r>
          </w:p>
        </w:tc>
        <w:tc>
          <w:tcPr>
            <w:tcW w:w="2394" w:type="dxa"/>
          </w:tcPr>
          <w:p w:rsidR="00147D89" w:rsidRDefault="00147D89" w:rsidP="00E80C0F">
            <w:pPr>
              <w:jc w:val="center"/>
              <w:rPr>
                <w:sz w:val="20"/>
                <w:szCs w:val="20"/>
              </w:rPr>
            </w:pPr>
            <w:r>
              <w:rPr>
                <w:sz w:val="20"/>
                <w:szCs w:val="20"/>
              </w:rPr>
              <w:t>Component</w:t>
            </w:r>
          </w:p>
        </w:tc>
        <w:tc>
          <w:tcPr>
            <w:tcW w:w="2394" w:type="dxa"/>
          </w:tcPr>
          <w:p w:rsidR="00147D89" w:rsidRDefault="00147D89" w:rsidP="00E80C0F">
            <w:pPr>
              <w:jc w:val="center"/>
              <w:rPr>
                <w:sz w:val="20"/>
                <w:szCs w:val="20"/>
              </w:rPr>
            </w:pPr>
            <w:r>
              <w:rPr>
                <w:sz w:val="20"/>
                <w:szCs w:val="20"/>
              </w:rPr>
              <w:t>Unit</w:t>
            </w:r>
          </w:p>
        </w:tc>
        <w:tc>
          <w:tcPr>
            <w:tcW w:w="2394" w:type="dxa"/>
          </w:tcPr>
          <w:p w:rsidR="00147D89" w:rsidRDefault="00147D89" w:rsidP="00E80C0F">
            <w:pPr>
              <w:jc w:val="center"/>
              <w:rPr>
                <w:sz w:val="20"/>
                <w:szCs w:val="20"/>
              </w:rPr>
            </w:pPr>
            <w:r>
              <w:rPr>
                <w:sz w:val="20"/>
                <w:szCs w:val="20"/>
              </w:rPr>
              <w:t>Practice Rate</w:t>
            </w:r>
            <w:r w:rsidR="00E33910">
              <w:rPr>
                <w:sz w:val="20"/>
                <w:szCs w:val="20"/>
              </w:rPr>
              <w:t xml:space="preserve"> NC/SC</w:t>
            </w:r>
          </w:p>
        </w:tc>
      </w:tr>
      <w:tr w:rsidR="00147D89" w:rsidTr="00147D89">
        <w:tc>
          <w:tcPr>
            <w:tcW w:w="2394" w:type="dxa"/>
          </w:tcPr>
          <w:p w:rsidR="00147D89" w:rsidRDefault="00E135B3" w:rsidP="00CC6177">
            <w:pPr>
              <w:rPr>
                <w:sz w:val="20"/>
                <w:szCs w:val="20"/>
              </w:rPr>
            </w:pPr>
            <w:r>
              <w:rPr>
                <w:sz w:val="20"/>
                <w:szCs w:val="20"/>
              </w:rPr>
              <w:t>Nutrient Management</w:t>
            </w:r>
          </w:p>
        </w:tc>
        <w:tc>
          <w:tcPr>
            <w:tcW w:w="2394" w:type="dxa"/>
          </w:tcPr>
          <w:p w:rsidR="00147D89" w:rsidRDefault="00A3250A" w:rsidP="00A3250A">
            <w:pPr>
              <w:jc w:val="center"/>
              <w:rPr>
                <w:sz w:val="20"/>
                <w:szCs w:val="20"/>
              </w:rPr>
            </w:pPr>
            <w:r>
              <w:rPr>
                <w:sz w:val="20"/>
                <w:szCs w:val="20"/>
              </w:rPr>
              <w:t>Basic</w:t>
            </w:r>
            <w:r w:rsidR="00E33910">
              <w:rPr>
                <w:sz w:val="20"/>
                <w:szCs w:val="20"/>
              </w:rPr>
              <w:t>/Variable</w:t>
            </w:r>
            <w:r>
              <w:rPr>
                <w:sz w:val="20"/>
                <w:szCs w:val="20"/>
              </w:rPr>
              <w:t xml:space="preserve"> </w:t>
            </w:r>
            <w:r w:rsidR="00E33910">
              <w:rPr>
                <w:sz w:val="20"/>
                <w:szCs w:val="20"/>
              </w:rPr>
              <w:t xml:space="preserve">Rate </w:t>
            </w:r>
            <w:r>
              <w:rPr>
                <w:sz w:val="20"/>
                <w:szCs w:val="20"/>
              </w:rPr>
              <w:t>Nutrient Management System</w:t>
            </w:r>
          </w:p>
        </w:tc>
        <w:tc>
          <w:tcPr>
            <w:tcW w:w="2394" w:type="dxa"/>
          </w:tcPr>
          <w:p w:rsidR="00147D89" w:rsidRDefault="00E135B3" w:rsidP="00E80C0F">
            <w:pPr>
              <w:jc w:val="center"/>
              <w:rPr>
                <w:sz w:val="20"/>
                <w:szCs w:val="20"/>
              </w:rPr>
            </w:pPr>
            <w:r>
              <w:rPr>
                <w:sz w:val="20"/>
                <w:szCs w:val="20"/>
              </w:rPr>
              <w:t>Each</w:t>
            </w:r>
          </w:p>
        </w:tc>
        <w:tc>
          <w:tcPr>
            <w:tcW w:w="2394" w:type="dxa"/>
          </w:tcPr>
          <w:p w:rsidR="00147D89" w:rsidRDefault="00147D89" w:rsidP="00E33910">
            <w:pPr>
              <w:jc w:val="center"/>
              <w:rPr>
                <w:sz w:val="20"/>
                <w:szCs w:val="20"/>
              </w:rPr>
            </w:pPr>
            <w:r>
              <w:rPr>
                <w:sz w:val="20"/>
                <w:szCs w:val="20"/>
              </w:rPr>
              <w:t>$</w:t>
            </w:r>
            <w:r w:rsidR="00A3250A">
              <w:rPr>
                <w:sz w:val="20"/>
                <w:szCs w:val="20"/>
              </w:rPr>
              <w:t>12.22</w:t>
            </w:r>
            <w:r w:rsidR="00E33910">
              <w:rPr>
                <w:sz w:val="20"/>
                <w:szCs w:val="20"/>
              </w:rPr>
              <w:t>/17.39</w:t>
            </w:r>
          </w:p>
        </w:tc>
      </w:tr>
      <w:tr w:rsidR="00A3250A" w:rsidTr="00147D89">
        <w:tc>
          <w:tcPr>
            <w:tcW w:w="2394" w:type="dxa"/>
          </w:tcPr>
          <w:p w:rsidR="00A3250A" w:rsidRDefault="00A3250A" w:rsidP="008350F7">
            <w:pPr>
              <w:rPr>
                <w:sz w:val="20"/>
                <w:szCs w:val="20"/>
              </w:rPr>
            </w:pPr>
            <w:r>
              <w:rPr>
                <w:sz w:val="20"/>
                <w:szCs w:val="20"/>
              </w:rPr>
              <w:t>Nutrient Management</w:t>
            </w:r>
          </w:p>
        </w:tc>
        <w:tc>
          <w:tcPr>
            <w:tcW w:w="2394" w:type="dxa"/>
          </w:tcPr>
          <w:p w:rsidR="00A3250A" w:rsidRDefault="00A3250A" w:rsidP="008350F7">
            <w:pPr>
              <w:jc w:val="center"/>
              <w:rPr>
                <w:sz w:val="20"/>
                <w:szCs w:val="20"/>
              </w:rPr>
            </w:pPr>
            <w:r>
              <w:rPr>
                <w:sz w:val="20"/>
                <w:szCs w:val="20"/>
              </w:rPr>
              <w:t>Basic</w:t>
            </w:r>
            <w:r w:rsidR="00E33910">
              <w:rPr>
                <w:sz w:val="20"/>
                <w:szCs w:val="20"/>
              </w:rPr>
              <w:t>/Variable Rate</w:t>
            </w:r>
            <w:r>
              <w:rPr>
                <w:sz w:val="20"/>
                <w:szCs w:val="20"/>
              </w:rPr>
              <w:t xml:space="preserve"> Nutrient Management System HU*</w:t>
            </w:r>
          </w:p>
        </w:tc>
        <w:tc>
          <w:tcPr>
            <w:tcW w:w="2394" w:type="dxa"/>
          </w:tcPr>
          <w:p w:rsidR="00A3250A" w:rsidRDefault="00A3250A" w:rsidP="008350F7">
            <w:pPr>
              <w:jc w:val="center"/>
              <w:rPr>
                <w:sz w:val="20"/>
                <w:szCs w:val="20"/>
              </w:rPr>
            </w:pPr>
            <w:r>
              <w:rPr>
                <w:sz w:val="20"/>
                <w:szCs w:val="20"/>
              </w:rPr>
              <w:t>Each</w:t>
            </w:r>
          </w:p>
        </w:tc>
        <w:tc>
          <w:tcPr>
            <w:tcW w:w="2394" w:type="dxa"/>
          </w:tcPr>
          <w:p w:rsidR="00A3250A" w:rsidRDefault="00A3250A" w:rsidP="00A3250A">
            <w:pPr>
              <w:jc w:val="center"/>
              <w:rPr>
                <w:sz w:val="20"/>
                <w:szCs w:val="20"/>
              </w:rPr>
            </w:pPr>
            <w:r>
              <w:rPr>
                <w:sz w:val="20"/>
                <w:szCs w:val="20"/>
              </w:rPr>
              <w:t>$14.86</w:t>
            </w:r>
            <w:r w:rsidR="00E33910">
              <w:rPr>
                <w:sz w:val="20"/>
                <w:szCs w:val="20"/>
              </w:rPr>
              <w:t>/20.86</w:t>
            </w:r>
          </w:p>
        </w:tc>
      </w:tr>
      <w:tr w:rsidR="00E135B3" w:rsidTr="00147D89">
        <w:tc>
          <w:tcPr>
            <w:tcW w:w="2394" w:type="dxa"/>
          </w:tcPr>
          <w:p w:rsidR="00E135B3" w:rsidRDefault="00E135B3">
            <w:r w:rsidRPr="003D5679">
              <w:rPr>
                <w:sz w:val="20"/>
                <w:szCs w:val="20"/>
              </w:rPr>
              <w:t>Nutrient Management</w:t>
            </w:r>
            <w:r w:rsidR="00D907BB">
              <w:rPr>
                <w:sz w:val="20"/>
                <w:szCs w:val="20"/>
              </w:rPr>
              <w:t>**</w:t>
            </w:r>
          </w:p>
        </w:tc>
        <w:tc>
          <w:tcPr>
            <w:tcW w:w="2394" w:type="dxa"/>
          </w:tcPr>
          <w:p w:rsidR="00E135B3" w:rsidRDefault="00E135B3" w:rsidP="00A3250A">
            <w:pPr>
              <w:jc w:val="center"/>
              <w:rPr>
                <w:sz w:val="20"/>
                <w:szCs w:val="20"/>
              </w:rPr>
            </w:pPr>
            <w:r>
              <w:rPr>
                <w:sz w:val="20"/>
                <w:szCs w:val="20"/>
              </w:rPr>
              <w:t>Basic Organic Nutrient Management</w:t>
            </w:r>
            <w:r w:rsidR="00A3250A">
              <w:rPr>
                <w:sz w:val="20"/>
                <w:szCs w:val="20"/>
              </w:rPr>
              <w:t xml:space="preserve"> System</w:t>
            </w:r>
          </w:p>
        </w:tc>
        <w:tc>
          <w:tcPr>
            <w:tcW w:w="2394" w:type="dxa"/>
          </w:tcPr>
          <w:p w:rsidR="00E135B3" w:rsidRDefault="00E135B3" w:rsidP="00E80C0F">
            <w:pPr>
              <w:jc w:val="center"/>
              <w:rPr>
                <w:sz w:val="20"/>
                <w:szCs w:val="20"/>
              </w:rPr>
            </w:pPr>
            <w:r>
              <w:rPr>
                <w:sz w:val="20"/>
                <w:szCs w:val="20"/>
              </w:rPr>
              <w:t>Acre</w:t>
            </w:r>
          </w:p>
        </w:tc>
        <w:tc>
          <w:tcPr>
            <w:tcW w:w="2394" w:type="dxa"/>
          </w:tcPr>
          <w:p w:rsidR="00E135B3" w:rsidRDefault="00E135B3" w:rsidP="00A3250A">
            <w:pPr>
              <w:jc w:val="center"/>
              <w:rPr>
                <w:sz w:val="20"/>
                <w:szCs w:val="20"/>
              </w:rPr>
            </w:pPr>
            <w:r>
              <w:rPr>
                <w:sz w:val="20"/>
                <w:szCs w:val="20"/>
              </w:rPr>
              <w:t>$</w:t>
            </w:r>
            <w:r w:rsidR="00A3250A">
              <w:rPr>
                <w:sz w:val="20"/>
                <w:szCs w:val="20"/>
              </w:rPr>
              <w:t>22.57</w:t>
            </w:r>
          </w:p>
        </w:tc>
      </w:tr>
      <w:tr w:rsidR="00A3250A" w:rsidTr="00147D89">
        <w:tc>
          <w:tcPr>
            <w:tcW w:w="2394" w:type="dxa"/>
          </w:tcPr>
          <w:p w:rsidR="00A3250A" w:rsidRDefault="00A3250A" w:rsidP="008350F7">
            <w:r w:rsidRPr="003D5679">
              <w:rPr>
                <w:sz w:val="20"/>
                <w:szCs w:val="20"/>
              </w:rPr>
              <w:t>Nutrient Management</w:t>
            </w:r>
            <w:r w:rsidR="00D907BB">
              <w:rPr>
                <w:sz w:val="20"/>
                <w:szCs w:val="20"/>
              </w:rPr>
              <w:t>**</w:t>
            </w:r>
          </w:p>
        </w:tc>
        <w:tc>
          <w:tcPr>
            <w:tcW w:w="2394" w:type="dxa"/>
          </w:tcPr>
          <w:p w:rsidR="00A3250A" w:rsidRDefault="00A3250A" w:rsidP="008350F7">
            <w:pPr>
              <w:jc w:val="center"/>
              <w:rPr>
                <w:sz w:val="20"/>
                <w:szCs w:val="20"/>
              </w:rPr>
            </w:pPr>
            <w:r>
              <w:rPr>
                <w:sz w:val="20"/>
                <w:szCs w:val="20"/>
              </w:rPr>
              <w:t>Basic Organic Nutrient Management System HU</w:t>
            </w:r>
          </w:p>
        </w:tc>
        <w:tc>
          <w:tcPr>
            <w:tcW w:w="2394" w:type="dxa"/>
          </w:tcPr>
          <w:p w:rsidR="00A3250A" w:rsidRDefault="00A3250A" w:rsidP="008350F7">
            <w:pPr>
              <w:jc w:val="center"/>
              <w:rPr>
                <w:sz w:val="20"/>
                <w:szCs w:val="20"/>
              </w:rPr>
            </w:pPr>
            <w:r>
              <w:rPr>
                <w:sz w:val="20"/>
                <w:szCs w:val="20"/>
              </w:rPr>
              <w:t>Acre</w:t>
            </w:r>
          </w:p>
        </w:tc>
        <w:tc>
          <w:tcPr>
            <w:tcW w:w="2394" w:type="dxa"/>
          </w:tcPr>
          <w:p w:rsidR="00A3250A" w:rsidRDefault="00A3250A" w:rsidP="00A3250A">
            <w:pPr>
              <w:jc w:val="center"/>
              <w:rPr>
                <w:sz w:val="20"/>
                <w:szCs w:val="20"/>
              </w:rPr>
            </w:pPr>
            <w:r>
              <w:rPr>
                <w:sz w:val="20"/>
                <w:szCs w:val="20"/>
              </w:rPr>
              <w:t>$27.08</w:t>
            </w:r>
          </w:p>
        </w:tc>
      </w:tr>
      <w:tr w:rsidR="00E135B3" w:rsidTr="00147D89">
        <w:tc>
          <w:tcPr>
            <w:tcW w:w="2394" w:type="dxa"/>
          </w:tcPr>
          <w:p w:rsidR="00E135B3" w:rsidRDefault="00E135B3">
            <w:r w:rsidRPr="003D5679">
              <w:rPr>
                <w:sz w:val="20"/>
                <w:szCs w:val="20"/>
              </w:rPr>
              <w:t>Nutrient Management</w:t>
            </w:r>
            <w:r w:rsidR="00D907BB">
              <w:rPr>
                <w:sz w:val="20"/>
                <w:szCs w:val="20"/>
              </w:rPr>
              <w:t>**</w:t>
            </w:r>
          </w:p>
        </w:tc>
        <w:tc>
          <w:tcPr>
            <w:tcW w:w="2394" w:type="dxa"/>
          </w:tcPr>
          <w:p w:rsidR="00E135B3" w:rsidRDefault="00E135B3" w:rsidP="00A3250A">
            <w:pPr>
              <w:jc w:val="center"/>
              <w:rPr>
                <w:sz w:val="20"/>
                <w:szCs w:val="20"/>
              </w:rPr>
            </w:pPr>
            <w:r>
              <w:rPr>
                <w:sz w:val="20"/>
                <w:szCs w:val="20"/>
              </w:rPr>
              <w:t>Diversified Specialty</w:t>
            </w:r>
            <w:r w:rsidR="00A3250A">
              <w:rPr>
                <w:sz w:val="20"/>
                <w:szCs w:val="20"/>
              </w:rPr>
              <w:t xml:space="preserve"> Crop Farm Nutrient Management Plan </w:t>
            </w:r>
          </w:p>
        </w:tc>
        <w:tc>
          <w:tcPr>
            <w:tcW w:w="2394" w:type="dxa"/>
          </w:tcPr>
          <w:p w:rsidR="00E135B3" w:rsidRDefault="00E135B3" w:rsidP="009021DF">
            <w:pPr>
              <w:jc w:val="center"/>
            </w:pPr>
            <w:r>
              <w:rPr>
                <w:sz w:val="20"/>
                <w:szCs w:val="20"/>
              </w:rPr>
              <w:t>Each</w:t>
            </w:r>
          </w:p>
        </w:tc>
        <w:tc>
          <w:tcPr>
            <w:tcW w:w="2394" w:type="dxa"/>
          </w:tcPr>
          <w:p w:rsidR="00E135B3" w:rsidRDefault="00E135B3" w:rsidP="00A3250A">
            <w:pPr>
              <w:jc w:val="center"/>
              <w:rPr>
                <w:sz w:val="20"/>
                <w:szCs w:val="20"/>
              </w:rPr>
            </w:pPr>
            <w:r>
              <w:rPr>
                <w:sz w:val="20"/>
                <w:szCs w:val="20"/>
              </w:rPr>
              <w:t>$</w:t>
            </w:r>
            <w:r w:rsidR="00A3250A">
              <w:rPr>
                <w:sz w:val="20"/>
                <w:szCs w:val="20"/>
              </w:rPr>
              <w:t>326.85</w:t>
            </w:r>
          </w:p>
        </w:tc>
      </w:tr>
      <w:tr w:rsidR="00A3250A" w:rsidTr="00147D89">
        <w:tc>
          <w:tcPr>
            <w:tcW w:w="2394" w:type="dxa"/>
          </w:tcPr>
          <w:p w:rsidR="00A3250A" w:rsidRDefault="00A3250A" w:rsidP="008350F7">
            <w:r w:rsidRPr="003D5679">
              <w:rPr>
                <w:sz w:val="20"/>
                <w:szCs w:val="20"/>
              </w:rPr>
              <w:t>Nutrient Management</w:t>
            </w:r>
            <w:r w:rsidR="00D907BB">
              <w:rPr>
                <w:sz w:val="20"/>
                <w:szCs w:val="20"/>
              </w:rPr>
              <w:t>**</w:t>
            </w:r>
          </w:p>
        </w:tc>
        <w:tc>
          <w:tcPr>
            <w:tcW w:w="2394" w:type="dxa"/>
          </w:tcPr>
          <w:p w:rsidR="00A3250A" w:rsidRDefault="00A3250A" w:rsidP="00A3250A">
            <w:pPr>
              <w:jc w:val="center"/>
              <w:rPr>
                <w:sz w:val="20"/>
                <w:szCs w:val="20"/>
              </w:rPr>
            </w:pPr>
            <w:r>
              <w:rPr>
                <w:sz w:val="20"/>
                <w:szCs w:val="20"/>
              </w:rPr>
              <w:t xml:space="preserve">Diversified Specialty Crop Farm Nutrient </w:t>
            </w:r>
            <w:r>
              <w:rPr>
                <w:sz w:val="20"/>
                <w:szCs w:val="20"/>
              </w:rPr>
              <w:lastRenderedPageBreak/>
              <w:t>Management Plan  HU</w:t>
            </w:r>
          </w:p>
        </w:tc>
        <w:tc>
          <w:tcPr>
            <w:tcW w:w="2394" w:type="dxa"/>
          </w:tcPr>
          <w:p w:rsidR="00A3250A" w:rsidRDefault="00A3250A" w:rsidP="008350F7">
            <w:pPr>
              <w:jc w:val="center"/>
            </w:pPr>
            <w:r>
              <w:rPr>
                <w:sz w:val="20"/>
                <w:szCs w:val="20"/>
              </w:rPr>
              <w:lastRenderedPageBreak/>
              <w:t>Each</w:t>
            </w:r>
          </w:p>
        </w:tc>
        <w:tc>
          <w:tcPr>
            <w:tcW w:w="2394" w:type="dxa"/>
          </w:tcPr>
          <w:p w:rsidR="00A3250A" w:rsidRDefault="00A3250A" w:rsidP="00A3250A">
            <w:pPr>
              <w:jc w:val="center"/>
              <w:rPr>
                <w:sz w:val="20"/>
                <w:szCs w:val="20"/>
              </w:rPr>
            </w:pPr>
            <w:r>
              <w:rPr>
                <w:sz w:val="20"/>
                <w:szCs w:val="20"/>
              </w:rPr>
              <w:t>$392.22</w:t>
            </w:r>
          </w:p>
        </w:tc>
      </w:tr>
    </w:tbl>
    <w:p w:rsidR="003467CA" w:rsidRDefault="00466C92" w:rsidP="00E135B3">
      <w:pPr>
        <w:spacing w:after="0"/>
        <w:rPr>
          <w:sz w:val="20"/>
          <w:szCs w:val="20"/>
        </w:rPr>
      </w:pPr>
      <w:r>
        <w:rPr>
          <w:sz w:val="20"/>
          <w:szCs w:val="20"/>
        </w:rPr>
        <w:lastRenderedPageBreak/>
        <w:t>*</w:t>
      </w:r>
      <w:r w:rsidR="00147D89">
        <w:rPr>
          <w:sz w:val="20"/>
          <w:szCs w:val="20"/>
        </w:rPr>
        <w:t>HU = Historically Underserved and Beginning Farmer Rates</w:t>
      </w:r>
    </w:p>
    <w:p w:rsidR="00D907BB" w:rsidRPr="001C32ED" w:rsidRDefault="00D907BB" w:rsidP="00E135B3">
      <w:pPr>
        <w:spacing w:after="0"/>
        <w:rPr>
          <w:sz w:val="20"/>
          <w:szCs w:val="20"/>
        </w:rPr>
      </w:pPr>
      <w:r>
        <w:rPr>
          <w:sz w:val="20"/>
          <w:szCs w:val="20"/>
        </w:rPr>
        <w:t>**NC only</w:t>
      </w:r>
      <w:bookmarkStart w:id="0" w:name="_GoBack"/>
      <w:bookmarkEnd w:id="0"/>
    </w:p>
    <w:sectPr w:rsidR="00D907BB" w:rsidRPr="001C3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D12"/>
    <w:multiLevelType w:val="hybridMultilevel"/>
    <w:tmpl w:val="4088F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6627D1"/>
    <w:multiLevelType w:val="hybridMultilevel"/>
    <w:tmpl w:val="80D630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CA"/>
    <w:rsid w:val="00031D63"/>
    <w:rsid w:val="00044DF3"/>
    <w:rsid w:val="0005635B"/>
    <w:rsid w:val="00086C0B"/>
    <w:rsid w:val="00086E78"/>
    <w:rsid w:val="00092770"/>
    <w:rsid w:val="000A3403"/>
    <w:rsid w:val="000F5208"/>
    <w:rsid w:val="0012743B"/>
    <w:rsid w:val="00147D89"/>
    <w:rsid w:val="00171626"/>
    <w:rsid w:val="00192297"/>
    <w:rsid w:val="001C32ED"/>
    <w:rsid w:val="001D688C"/>
    <w:rsid w:val="00240470"/>
    <w:rsid w:val="00275036"/>
    <w:rsid w:val="002771DD"/>
    <w:rsid w:val="002813FA"/>
    <w:rsid w:val="002D43BF"/>
    <w:rsid w:val="00303EC6"/>
    <w:rsid w:val="00344F23"/>
    <w:rsid w:val="00345F65"/>
    <w:rsid w:val="003467CA"/>
    <w:rsid w:val="0034707D"/>
    <w:rsid w:val="003A217E"/>
    <w:rsid w:val="003E6061"/>
    <w:rsid w:val="00406E00"/>
    <w:rsid w:val="004079BF"/>
    <w:rsid w:val="00423F9F"/>
    <w:rsid w:val="0044443F"/>
    <w:rsid w:val="004444F6"/>
    <w:rsid w:val="00454D28"/>
    <w:rsid w:val="00463352"/>
    <w:rsid w:val="00466C92"/>
    <w:rsid w:val="00472F36"/>
    <w:rsid w:val="005336AD"/>
    <w:rsid w:val="00533943"/>
    <w:rsid w:val="00547305"/>
    <w:rsid w:val="00557D21"/>
    <w:rsid w:val="005D1DB6"/>
    <w:rsid w:val="005D3D47"/>
    <w:rsid w:val="005F0A45"/>
    <w:rsid w:val="0061430D"/>
    <w:rsid w:val="006E13D6"/>
    <w:rsid w:val="006F108A"/>
    <w:rsid w:val="00767B31"/>
    <w:rsid w:val="007A6803"/>
    <w:rsid w:val="007A6DB7"/>
    <w:rsid w:val="007C779D"/>
    <w:rsid w:val="007D44FD"/>
    <w:rsid w:val="00801CE0"/>
    <w:rsid w:val="00826715"/>
    <w:rsid w:val="008A0D90"/>
    <w:rsid w:val="00901B57"/>
    <w:rsid w:val="009021DF"/>
    <w:rsid w:val="00911254"/>
    <w:rsid w:val="00965EB5"/>
    <w:rsid w:val="0098152A"/>
    <w:rsid w:val="00982C17"/>
    <w:rsid w:val="00994E43"/>
    <w:rsid w:val="009A0DE5"/>
    <w:rsid w:val="00A0258C"/>
    <w:rsid w:val="00A3250A"/>
    <w:rsid w:val="00B431D3"/>
    <w:rsid w:val="00B52CE3"/>
    <w:rsid w:val="00B62CB5"/>
    <w:rsid w:val="00BA715D"/>
    <w:rsid w:val="00C645BA"/>
    <w:rsid w:val="00C91778"/>
    <w:rsid w:val="00C95717"/>
    <w:rsid w:val="00CC6177"/>
    <w:rsid w:val="00CE2CBC"/>
    <w:rsid w:val="00D57302"/>
    <w:rsid w:val="00D622F0"/>
    <w:rsid w:val="00D907BB"/>
    <w:rsid w:val="00D96C08"/>
    <w:rsid w:val="00DA4B1C"/>
    <w:rsid w:val="00DE17E3"/>
    <w:rsid w:val="00E135B3"/>
    <w:rsid w:val="00E1554C"/>
    <w:rsid w:val="00E239FF"/>
    <w:rsid w:val="00E32263"/>
    <w:rsid w:val="00E33910"/>
    <w:rsid w:val="00E56D63"/>
    <w:rsid w:val="00E80C0F"/>
    <w:rsid w:val="00E83C39"/>
    <w:rsid w:val="00EB5F1E"/>
    <w:rsid w:val="00ED248A"/>
    <w:rsid w:val="00EE331D"/>
    <w:rsid w:val="00F46DF4"/>
    <w:rsid w:val="00F67F40"/>
    <w:rsid w:val="00F87C23"/>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44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943"/>
    <w:pPr>
      <w:ind w:left="720"/>
      <w:contextualSpacing/>
    </w:pPr>
  </w:style>
  <w:style w:type="table" w:styleId="TableGrid">
    <w:name w:val="Table Grid"/>
    <w:basedOn w:val="TableNormal"/>
    <w:uiPriority w:val="59"/>
    <w:rsid w:val="0014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4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D7415-7C82-4B17-AB0B-A56FD959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KBaldwin</dc:creator>
  <cp:lastModifiedBy>KBaldwin</cp:lastModifiedBy>
  <cp:revision>8</cp:revision>
  <dcterms:created xsi:type="dcterms:W3CDTF">2013-06-03T20:43:00Z</dcterms:created>
  <dcterms:modified xsi:type="dcterms:W3CDTF">2014-02-21T20:54:00Z</dcterms:modified>
</cp:coreProperties>
</file>